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5"/>
        <w:gridCol w:w="2100"/>
        <w:gridCol w:w="1535"/>
        <w:gridCol w:w="1639"/>
        <w:gridCol w:w="230"/>
        <w:gridCol w:w="3116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9" w:hRule="atLeast"/>
        </w:trPr>
        <w:tc>
          <w:tcPr>
            <w:tcW w:w="4650" w:type="dxa"/>
            <w:gridSpan w:val="3"/>
            <w:shd w:val="clear" w:color="auto" w:fill="auto"/>
          </w:tcPr>
          <w:p>
            <w:pPr>
              <w:pStyle w:val="55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>
              <w:rPr>
                <w:rFonts w:ascii="FreeSerif" w:hAnsi="FreeSerif" w:cs="FreeSerif"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86075" cy="10096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50" r="-18" b="-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009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>
            <w:pPr>
              <w:pStyle w:val="55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>
            <w:pPr>
              <w:pStyle w:val="55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  <w:r>
              <w:rPr>
                <w:rFonts w:ascii="FreeSerif" w:hAnsi="FreeSerif" w:cs="FreeSerif"/>
                <w:smallCaps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42925" cy="581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-26" r="-27" b="-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5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</w:p>
          <w:p>
            <w:pPr>
              <w:pStyle w:val="55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FreeSerif" w:hAnsi="FreeSerif" w:cs="FreeSerif"/>
                <w:smallCaps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14475" cy="3524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27" r="-6" b="-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52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015" w:type="dxa"/>
            <w:shd w:val="clear" w:color="auto" w:fill="auto"/>
          </w:tcPr>
          <w:p>
            <w:pPr>
              <w:pStyle w:val="55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8620" w:type="dxa"/>
            <w:gridSpan w:val="5"/>
            <w:shd w:val="clear" w:color="auto" w:fill="auto"/>
          </w:tcPr>
          <w:p>
            <w:pPr>
              <w:pStyle w:val="55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>agraria agroalimentare agroindustria | chimica, materiali e biotecnologie | costruzioni, ambiente e territorio | servizi socio-sanitari</w:t>
            </w:r>
          </w:p>
          <w:p>
            <w:pPr>
              <w:pStyle w:val="55"/>
            </w:pP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PI0626 – ISO9001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015" w:type="dxa"/>
            <w:shd w:val="clear" w:color="auto" w:fill="auto"/>
          </w:tcPr>
          <w:p>
            <w:pPr>
              <w:pStyle w:val="55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color="3333FF" w:sz="8" w:space="0"/>
            </w:tcBorders>
            <w:shd w:val="clear" w:color="auto" w:fill="auto"/>
          </w:tcPr>
          <w:p>
            <w:pPr>
              <w:pStyle w:val="55"/>
            </w:pPr>
            <w:r>
              <w:rPr>
                <w:rFonts w:ascii="Calibri" w:hAnsi="Calibri"/>
                <w:b/>
                <w:bCs/>
                <w:sz w:val="20"/>
              </w:rPr>
              <w:t>www.e-santoni.gov.it</w:t>
            </w:r>
          </w:p>
        </w:tc>
        <w:tc>
          <w:tcPr>
            <w:tcW w:w="3174" w:type="dxa"/>
            <w:gridSpan w:val="2"/>
            <w:tcBorders>
              <w:bottom w:val="single" w:color="3333FF" w:sz="8" w:space="0"/>
            </w:tcBorders>
            <w:shd w:val="clear" w:color="auto" w:fill="auto"/>
          </w:tcPr>
          <w:p>
            <w:pPr>
              <w:pStyle w:val="55"/>
              <w:jc w:val="center"/>
            </w:pPr>
            <w:r>
              <w:rPr>
                <w:rFonts w:ascii="Calibri" w:hAnsi="Calibri"/>
                <w:sz w:val="20"/>
              </w:rPr>
              <w:t xml:space="preserve">e-mail: </w:t>
            </w:r>
            <w:r>
              <w:rPr>
                <w:rFonts w:ascii="Calibri" w:hAnsi="Calibri"/>
                <w:b/>
                <w:bCs/>
                <w:sz w:val="20"/>
              </w:rPr>
              <w:t>piis003007@istruzione.it</w:t>
            </w:r>
          </w:p>
        </w:tc>
        <w:tc>
          <w:tcPr>
            <w:tcW w:w="3346" w:type="dxa"/>
            <w:gridSpan w:val="2"/>
            <w:tcBorders>
              <w:bottom w:val="single" w:color="3333FF" w:sz="8" w:space="0"/>
            </w:tcBorders>
            <w:shd w:val="clear" w:color="auto" w:fill="auto"/>
          </w:tcPr>
          <w:p>
            <w:pPr>
              <w:pStyle w:val="55"/>
              <w:jc w:val="right"/>
            </w:pPr>
            <w:r>
              <w:rPr>
                <w:rFonts w:ascii="Calibri" w:hAnsi="Calibri"/>
                <w:sz w:val="20"/>
              </w:rPr>
              <w:t xml:space="preserve">PEC: </w:t>
            </w:r>
            <w:r>
              <w:rPr>
                <w:rFonts w:ascii="Calibri" w:hAnsi="Calibri"/>
                <w:b/>
                <w:bCs/>
                <w:sz w:val="20"/>
              </w:rPr>
              <w:t>piis003007@pec.istruzione.it</w:t>
            </w:r>
          </w:p>
        </w:tc>
      </w:tr>
    </w:tbl>
    <w:p/>
    <w:p/>
    <w:p>
      <w:pPr>
        <w:pStyle w:val="53"/>
        <w:jc w:val="center"/>
        <w:rPr>
          <w:rFonts w:hint="default"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</w:rPr>
        <w:t>PIANO DI LAVORO ANNUALE DEL DOCENTE  A. S. 202</w:t>
      </w:r>
      <w:r>
        <w:rPr>
          <w:rFonts w:hint="default"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</w:rPr>
        <w:t>-2</w:t>
      </w:r>
      <w:r>
        <w:rPr>
          <w:rFonts w:hint="default" w:ascii="Arial" w:hAnsi="Arial" w:cs="Arial"/>
          <w:sz w:val="28"/>
          <w:szCs w:val="28"/>
          <w:lang w:val="it-IT"/>
        </w:rPr>
        <w:t>4</w:t>
      </w:r>
    </w:p>
    <w:p>
      <w:pPr>
        <w:pStyle w:val="53"/>
        <w:rPr>
          <w:rFonts w:ascii="Arial" w:hAnsi="Arial" w:cs="Arial"/>
          <w:sz w:val="28"/>
          <w:szCs w:val="28"/>
        </w:rPr>
      </w:pPr>
    </w:p>
    <w:tbl>
      <w:tblPr>
        <w:tblStyle w:val="8"/>
        <w:tblW w:w="1049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70"/>
        <w:gridCol w:w="5110"/>
        <w:gridCol w:w="31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Nome e cognome del docente    TIZIANA GHELARDINI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>Disciplina  insegnata ITALIANO E STORIA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>Classe e Sez .</w:t>
            </w:r>
          </w:p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3A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>Indirizzo di studio</w:t>
            </w:r>
          </w:p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CAT</w:t>
            </w:r>
          </w:p>
        </w:tc>
        <w:tc>
          <w:tcPr>
            <w:tcW w:w="3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 xml:space="preserve">N. studenti   </w:t>
            </w:r>
          </w:p>
          <w:p>
            <w:pPr>
              <w:jc w:val="center"/>
              <w:rPr>
                <w:rFonts w:hint="default" w:ascii="Calibri" w:hAnsi="Calibri" w:cs="Calibri"/>
                <w:sz w:val="20"/>
                <w:szCs w:val="20"/>
                <w:lang w:val="it-IT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it-IT"/>
              </w:rPr>
              <w:t>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4"/>
              <w:numPr>
                <w:ilvl w:val="0"/>
                <w:numId w:val="2"/>
              </w:numPr>
              <w:spacing w:after="0" w:line="100" w:lineRule="atLeast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- Obiettivi trasversali indicati nel documento di programmazione di classe e individuati dal dipartimento</w:t>
            </w:r>
          </w:p>
          <w:p>
            <w:pPr>
              <w:jc w:val="both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COMPETENZE ED OBIETTIVI TRASVERSALI PROGRAMMATI DAL DIPARTIMENTO UMANISTICO</w:t>
            </w:r>
          </w:p>
          <w:p>
            <w:pPr>
              <w:jc w:val="both"/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  <w:t>Competenze ed Obiettivi educatvi</w:t>
            </w:r>
          </w:p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Il Dipartimento individua i seguenti obiettivi educativi con relative competenze:</w:t>
            </w:r>
          </w:p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tbl>
            <w:tblPr>
              <w:tblStyle w:val="8"/>
              <w:tblW w:w="105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78"/>
              <w:gridCol w:w="2536"/>
              <w:gridCol w:w="380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0515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</w:tcPr>
                <w:p>
                  <w:pPr>
                    <w:snapToGrid w:val="0"/>
                    <w:jc w:val="center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Competenze chiave e obiettivi educativi trasversali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4178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IMPARARE AD IMPARARE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PROGETTARE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AGIRE IN MODO AUTONOMO E RESPONSABILE</w:t>
                  </w:r>
                </w:p>
              </w:tc>
              <w:tc>
                <w:tcPr>
                  <w:tcW w:w="2536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RISOLVERE I PROBLEMI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INDIVIDUARE COLLEGAMENTI E RELAZIONI</w:t>
                  </w:r>
                </w:p>
              </w:tc>
              <w:tc>
                <w:tcPr>
                  <w:tcW w:w="3801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COMUNICARE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COLLABORARE E PARTECIPARE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ACQUISIRE E INTERPRETARE L’INFORMAZIONE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6" w:hRule="atLeast"/>
              </w:trPr>
              <w:tc>
                <w:tcPr>
                  <w:tcW w:w="41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Motivare gli alunni allo studio e far maturare in loro il senso di responsabilità e di partecipazione attiva, nel rispetto delle regole della comunità scolastica.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consapevoli dei propri punti di forza e di debolezza.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Utilizzare i propri errori per attuare strategie di miglioramento.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Valutare tutte le variabili e gli aspetti al fine di ottimizzare le scelte.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Saper decidere e agire in un contesto dato.</w:t>
                  </w:r>
                </w:p>
              </w:tc>
              <w:tc>
                <w:tcPr>
                  <w:tcW w:w="25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Acquisire l’abitudine a ragionare con rigore logico, ad indentificare i problemi e ad individuare le possibili soluzioni.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in grado di rapportarsi con la realtà in modo critico e flessibile, riconoscendo e rispettando la diversità delle esperienze e delle culture, per avviarsi alla ricerca di un’identità personale e alla formazione di valori.</w:t>
                  </w:r>
                </w:p>
              </w:tc>
              <w:tc>
                <w:tcPr>
                  <w:tcW w:w="38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tabs>
                      <w:tab w:val="left" w:pos="3012"/>
                    </w:tabs>
                    <w:snapToGrid w:val="0"/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Partecipare in modo propositivo al dialogo educativo, intervenendo senza sovrapposizione e rispettando i ruoli.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Porsi in relazione con gli altri in modo corretto e leale, accettando critiche, rispettando le opinioni altrui e ammettendo i propri errori.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Socializzare con i compagni e con i docenti.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Applicare correttamente le regole apprese.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Saper distinguere ciò che è utile/fondamentale da ciò che non lo è.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Pianificare i comportamenti sulla base delle possibili conseguenze.</w:t>
                  </w:r>
                </w:p>
              </w:tc>
            </w:tr>
          </w:tbl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  <w:t>Competenze ed Obiettivi cognitivi</w:t>
            </w:r>
          </w:p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tbl>
            <w:tblPr>
              <w:tblStyle w:val="8"/>
              <w:tblW w:w="105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1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051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 xml:space="preserve">Il Dipartimento ritiene che gli studenti debbano acquisire le competenze chiave della cittadinanza necessarie per entrare da protagonisti nella vita del domani e nel mondo del lavoro e valuta opportuno consolidare ed approfondire le competenze comunque acquisite negli anni precedenti, sviluppandole e potenziandole per affrontare le sfide del triennio. Individua quindi come competenze chiave: </w:t>
                  </w: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imparare ad imparare acquisire un metodo di studio, progettare, comunicare, collaborare e partecipare, agire in modo autonomo e responsabile, risolvere problemi, individuare collegamenti e relazioni, acquisire ed interpretare informazioni</w:t>
                  </w: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.</w:t>
                  </w:r>
                </w:p>
                <w:p>
                  <w:pPr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Le competenze saranno articolate facendo riferimento agli obiettivi relativi ai principali assi culturali.</w:t>
                  </w:r>
                </w:p>
                <w:p>
                  <w:pPr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sz w:val="20"/>
                <w:szCs w:val="20"/>
                <w:u w:val="single"/>
              </w:rPr>
              <w:t>COMPETENZE CHIAVE-TRASVERSALI</w:t>
            </w: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tbl>
            <w:tblPr>
              <w:tblStyle w:val="8"/>
              <w:tblW w:w="105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63"/>
              <w:gridCol w:w="725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3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  <w:t>COMPETENZE CHIAVE</w:t>
                  </w:r>
                </w:p>
              </w:tc>
              <w:tc>
                <w:tcPr>
                  <w:tcW w:w="72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  <w:t>OBIETTIVI COGNITIVI TRASVERSALI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3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Imparare ad imparare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 xml:space="preserve">      Progettare</w:t>
                  </w:r>
                </w:p>
                <w:p>
                  <w:pP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capace di: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organizzare e gestire il proprio apprendimento individuando, scegliendo ed utilizzando varie fonti e varie modalità di informazione e di formazione (formale, non formale ed informale), anche in funzione dei tempi disponibili, delle proprie strategie e del proprio metodo di studio e di lavoro;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542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utilizzare un proprio metodo di studio e di lavoro;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elaborare e realizzare attività seguendo la logica della progettazione,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      </w:r>
                </w:p>
                <w:p>
                  <w:pPr>
                    <w:ind w:left="397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3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 xml:space="preserve">           Comunicare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 xml:space="preserve">  Collaborare/partecipare</w:t>
                  </w:r>
                </w:p>
                <w:p>
                  <w:pPr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capace di :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08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multimediali;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08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adeguare le modalità di comunicazione all’interlocutore;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lavorare e interagire con gli altri in precise e specifiche attività collettive;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riconoscere il contributo del lavoro altrui;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 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Sapersi inserire in modo attivo e consapevole nella vita sociale e far valere al suo interno i propri diritti e bisogni riconoscendo al contempo quelli altrui, le opportunità comuni, i limiti, le regole, le responsabilità.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ind w:left="39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3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Risolvere problemi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Individuare collegamenti e relazioni</w:t>
                  </w:r>
                </w:p>
                <w:p>
                  <w:pPr>
                    <w:pStyle w:val="54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Acquisire/interpretare l’informazione ricevuta</w:t>
                  </w:r>
                </w:p>
                <w:p>
                  <w:pPr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capace di:</w:t>
                  </w:r>
                </w:p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comprendere, interpretare ed intervenire in modo personale rispetto agli eventi che si presentano. Affrontare situazioni problematiche costruendo e verificando ipotesi, individuando le fonti e le risorse adeguate, accogliendo e valutando i dati, proponendo soluzioni, utilizzando, secondo il tipo di problema, contenuti e metodi delle diverse discipline;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probabilistica;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applicare tecniche e metodologie note a contesti nuovi;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strutturare dati e/o informazioni in relazione agli obiettivi.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acquisire ed interpretare criticamente l'informazione ricevuta nei diversi ambiti ed attraverso diversi strumenti comunicativi, valutandone l’attendibilità e l’utilità, distinguendo fatti e opinioni.</w:t>
                  </w:r>
                </w:p>
                <w:p>
                  <w:pPr>
                    <w:ind w:left="72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32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54"/>
              <w:spacing w:after="0" w:line="100" w:lineRule="atLeast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54"/>
              <w:spacing w:after="0" w:line="100" w:lineRule="atLeast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Breve profilo della classe a livello disciplinare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/>
                <w:sz w:val="20"/>
                <w:szCs w:val="20"/>
              </w:rPr>
              <w:t>(dati eventuali sui livelli di profitto in partenza, carenze diffuse nelle abilità o nelle conoscenze essenziali)</w:t>
            </w:r>
          </w:p>
          <w:p>
            <w:pPr>
              <w:jc w:val="both"/>
              <w:rPr>
                <w:rFonts w:hint="default" w:ascii="Calibri" w:hAnsi="Calibri" w:eastAsia="DejaVu Sans" w:cs="Calibri"/>
                <w:b/>
                <w:kern w:val="1"/>
                <w:sz w:val="20"/>
                <w:szCs w:val="20"/>
                <w:lang w:eastAsia="zh-CN" w:bidi="hi-IN"/>
              </w:rPr>
            </w:pPr>
          </w:p>
          <w:p>
            <w:pPr>
              <w:jc w:val="both"/>
              <w:rPr>
                <w:rFonts w:hint="default" w:ascii="Calibri" w:hAnsi="Calibri" w:eastAsia="DejaVu Sans" w:cs="Calibri"/>
                <w:b/>
                <w:kern w:val="1"/>
                <w:sz w:val="20"/>
                <w:szCs w:val="20"/>
                <w:lang w:eastAsia="zh-CN" w:bidi="hi-IN"/>
              </w:rPr>
            </w:pPr>
          </w:p>
          <w:p>
            <w:pPr>
              <w:jc w:val="both"/>
              <w:rPr>
                <w:rFonts w:hint="default" w:ascii="Calibri" w:hAnsi="Calibri" w:eastAsia="DejaVu Sans" w:cs="Calibri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hint="default" w:ascii="Calibri" w:hAnsi="Calibri" w:eastAsia="DejaVu Sans" w:cs="Calibri"/>
                <w:b/>
                <w:kern w:val="1"/>
                <w:sz w:val="20"/>
                <w:szCs w:val="20"/>
                <w:lang w:eastAsia="zh-CN" w:bidi="hi-IN"/>
              </w:rPr>
              <w:t>Composizione e breve storia della classe</w:t>
            </w:r>
          </w:p>
          <w:p>
            <w:pPr>
              <w:spacing w:before="0" w:after="0" w:line="276" w:lineRule="auto"/>
              <w:jc w:val="both"/>
              <w:rPr>
                <w:rFonts w:hint="default" w:ascii="Calibri" w:hAnsi="Calibri" w:eastAsia="Calibri" w:cs="Calibri"/>
                <w:b/>
                <w:sz w:val="20"/>
                <w:szCs w:val="20"/>
                <w:rtl w:val="0"/>
                <w:lang w:val="it-IT"/>
              </w:rPr>
            </w:pPr>
            <w:r>
              <w:rPr>
                <w:rFonts w:hint="default" w:ascii="Calibri" w:hAnsi="Calibri" w:eastAsia="Calibri" w:cs="Calibri"/>
                <w:b w:val="0"/>
                <w:bCs/>
                <w:sz w:val="20"/>
                <w:szCs w:val="20"/>
                <w:rtl w:val="0"/>
                <w:lang w:val="it-IT"/>
              </w:rPr>
              <w:t>La classe è composta da 20 studenti, 19 provenienti dalla 2A, uno studente ripetente dalla 3A</w:t>
            </w:r>
            <w:r>
              <w:rPr>
                <w:rFonts w:hint="default" w:ascii="Calibri" w:hAnsi="Calibri" w:eastAsia="Calibri" w:cs="Calibri"/>
                <w:b/>
                <w:sz w:val="20"/>
                <w:szCs w:val="20"/>
                <w:rtl w:val="0"/>
                <w:lang w:val="it-IT"/>
              </w:rPr>
              <w:t xml:space="preserve">. </w:t>
            </w:r>
          </w:p>
          <w:p>
            <w:pPr>
              <w:spacing w:before="0" w:after="0" w:line="276" w:lineRule="auto"/>
              <w:jc w:val="both"/>
              <w:rPr>
                <w:rFonts w:hint="default" w:ascii="Calibri" w:hAnsi="Calibri" w:eastAsia="Calibri" w:cs="Calibri"/>
                <w:b/>
                <w:sz w:val="20"/>
                <w:szCs w:val="20"/>
                <w:rtl w:val="0"/>
                <w:lang w:val="it-IT"/>
              </w:rPr>
            </w:pPr>
          </w:p>
          <w:p>
            <w:pPr>
              <w:keepNext/>
              <w:keepLines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both"/>
              <w:rPr>
                <w:rFonts w:hint="default" w:ascii="Calibri" w:hAnsi="Calibri" w:eastAsia="Calibri" w:cs="Calibri"/>
                <w:b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i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Eventuali osservazioni su comportamenti e atteggiamenti</w:t>
            </w:r>
          </w:p>
          <w:p>
            <w:pPr>
              <w:spacing w:before="0" w:after="0" w:line="276" w:lineRule="auto"/>
              <w:jc w:val="both"/>
              <w:rPr>
                <w:rFonts w:hint="default" w:ascii="Calibri" w:hAnsi="Calibri" w:eastAsia="Calibri" w:cs="Calibri"/>
                <w:b/>
                <w:sz w:val="20"/>
                <w:szCs w:val="20"/>
                <w:rtl w:val="0"/>
                <w:lang w:val="it-IT"/>
              </w:rPr>
            </w:pPr>
          </w:p>
          <w:p>
            <w:pPr>
              <w:spacing w:before="0" w:after="0" w:line="276" w:lineRule="auto"/>
              <w:jc w:val="both"/>
              <w:rPr>
                <w:rFonts w:hint="default" w:ascii="Calibri" w:hAnsi="Calibri" w:eastAsia="Calibri" w:cs="Calibri"/>
                <w:b/>
                <w:sz w:val="20"/>
                <w:szCs w:val="20"/>
                <w:rtl w:val="0"/>
                <w:lang w:val="it-IT"/>
              </w:rPr>
            </w:pPr>
          </w:p>
          <w:p>
            <w:pPr>
              <w:spacing w:before="0" w:after="0" w:line="276" w:lineRule="auto"/>
              <w:jc w:val="both"/>
              <w:rPr>
                <w:rFonts w:hint="default" w:ascii="Calibri" w:hAnsi="Calibri" w:eastAsia="Calibri" w:cs="Calibri"/>
                <w:b w:val="0"/>
                <w:bCs/>
                <w:sz w:val="20"/>
                <w:szCs w:val="20"/>
                <w:rtl w:val="0"/>
                <w:lang w:val="it-IT"/>
              </w:rPr>
            </w:pPr>
            <w:r>
              <w:rPr>
                <w:rFonts w:hint="default" w:ascii="Calibri" w:hAnsi="Calibri" w:eastAsia="Calibri" w:cs="Calibri"/>
                <w:b w:val="0"/>
                <w:bCs/>
                <w:sz w:val="20"/>
                <w:szCs w:val="20"/>
                <w:rtl w:val="0"/>
                <w:lang w:val="it-IT"/>
              </w:rPr>
              <w:t>Dall’osservazione relativa al primo periodo di attività scolastica e dal confronto con i docenti che hanno mantenuto la continuità didattica è emerso un atteggiamento collaborativo. L’interesse e la partecipazione sono apprezzabili in un folto gruppo di studenti e studentesse che si dimostrano anche particolarmente perspicaci. Un piccolo gruppo evidenzia invece problemi di attenzione, si distraggono spesso, chiedendo insistentemente di uscire e necessitando di continui richiami.</w:t>
            </w:r>
          </w:p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Indicare le competenze che si intende sviluppare o i traguardi di competenza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/>
                <w:sz w:val="20"/>
                <w:szCs w:val="20"/>
              </w:rPr>
              <w:t>(fare riferimento alle Linee Guida e ai documenti dei dipartimenti)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• individuare e utilizzare gli strumenti di comunicazione e di team working più appropriati per intervenire nei contesti organizzativi e professionali di riferimento; 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• redigere relazioni tecniche e documentare le attività individuali e di gruppo relative a situazioni professionali;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• utilizzare gli strumenti culturali e metodologici per porsi con atteggiamento razionale, critico e responsabile di fronte alla realtà, ai suoi fenomeni, ai suoi problemi, anche ai fini dell’apprendimento permanente.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Descrizione di conoscenze e abilità, suddivise in unità di apprendimento o didattiche, evidenziando per ognuna quelle essenziali o minime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ITALIANO</w:t>
            </w:r>
          </w:p>
          <w:p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hint="default" w:ascii="Calibri" w:hAnsi="Calibri" w:cs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ascii="Calibri" w:hAnsi="Calibri" w:cs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Competenze essenziali/minime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Conoscenze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Lingua Radici storiche ed evoluzione della lingua italiana dal Medioevo all’Unità nazionale. Rapporto tra lingua e letteratura. Lingua letteraria e linguaggi della scienza e della tecnologia. Fonti dell’informazione e della documentazione. Tecniche della comunicazione. Caratteristiche e struttura di testi scritti e repertori di testi specialistici. Criteri per la redazione di un rapporto e di una relazione. Caratteri comunicativi di un testo multimediale.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Letteratura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Linee di evoluzione della cultura e del sistema letterario italiano dalle origini all’Unità nazionale. Testi ed autori fondamentali che caratterizzano l’identità culturale nazionale italiana nelle varie epoche. Significative opere letterarie, artistiche e scientifiche anche di autori internazionali nelle varie epoche. Elementi di identità e di diversità tra la cultura italiana e le culture di altri Paesi. Fonti di documentazione letteraria; siti web dedicati alla letteratura. Tecniche di ricerca, catalogazione e produzione multimediale di testi e documenti letterari.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Abilità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Lingua Riconoscere le linee di sviluppo storico-culturale della lingua italiana. Riconoscere i caratteri stilistici e strutturali di testi letterari, artistici, scientifici e tecnologici. Utilizzare registri comunicativi adeguati ai diversi ambiti specialistici Consultare dizionari e altre fonti informative per l’approfondimento e la produzione linguistica. Sostenere conversazioni e colloqui su tematiche predefinite anche professionali. Raccogliere, selezionare ed utilizzare informazioni utili all’attività di ricerca di testi letterari, artistici, scientifici e tecnologici. Produrre testi scritti di diversa tipologia e complessità. Ideare e realizzare testi multimediali su tematiche culturali, di studio e professionali.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Letteratura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Riconoscere e identificare periodi e linee di sviluppo della cultura letteraria ed artistica italiana. Identificare gli autori e le opere fondamentali del patrimonio culturale italiano ed internazionale dal Medioevo all’Unità nazionale. Riconoscere i tratti peculiari o comuni alle diverse culture dei popoli europei nella produzione letteraria, artistica, scientifica e tecnologica contemporanea. Individuare i caratteri specifici di un testo letterario, scientifico, tecnico, storico, critico ed artistico. Contestualizzare testi e opere letterarie, artistiche e scientifiche di differenti epoche e realtà territoriali in rapporto alla tradizione culturale italiana e di altri popoli. Formulare un motivato giudizio critico su un testo letterario anche mettendolo in relazione alle esperienze personali. Utilizzare le tecnologie digitali per la presentazione di un progetto o di un prodotto.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</w:rPr>
              <w:t>Storia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competenze: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• correlare la conoscenza storica generale agli sviluppi delle scienze, delle tecnologie e delle tecniche negli specifici campi professionali di riferimento.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• riconoscere gli aspetti geografici, ecologici, territoriali dell’ambiente naturale ed antropico, le connessioni con le strutture demografiche, economiche, sociali, culturali e le trasformazioni intervenute nel corso del tempo.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Conoscenze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Principali persistenze e processi di trasformazione tra il secolo XI e il secolo XIX in Italia, in Europa e nel mondo. Evoluzione dei sistemi politico-istituzionali ed economici, con riferimenti agli aspetti demografici, sociali e culturali. Principali persistenze e mutamenti culturali in ambito religioso e laico. Innovazioni scientifiche e tecnologiche: fattori e contesti di riferimento. Territorio come fonte storica: tessuto socio-economico e patrimonio ambientale, culturale e artistico. Aspetti della storia locale quali configurazioni della storia generale. Diverse interpretazioni storiografiche di grandi processi di trasformazione (es.: riforme e rivoluzioni). Lessico delle scienze storico-sociali. Categorie e metodi della ricerca storica (es.: analisi di fonti; modelli interpretativi; periodizzazione). Strumenti della ricerca e della divulgazione storica (es.: vari tipi di fonti, carte geo-storiche e tematiche, mappe, statistiche e grafici, manuali, testi divulgativi multimediali, siti Web )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. Abilità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Ricostruire processi di trasformazione individuando elementi di persistenza e discontinuità. Riconoscere la varietà e lo sviluppo storico dei sistemi economici e politici e individuarne i nessi con i contesti internazionali e gli intrecci con alcune variabili ambientali, demografiche, sociali e culturali. Individuare i cambiamenti culturali, socio-economici e politico istituzionali (es. in rapporto a rivoluzioni e riforme). Analizzare correnti di pensiero, contesti fattori e strumenti che hanno favorito le innovazioni scientifiche e tecnologiche. Individuare l’evoluzione sociale, culturale ed ambientale del territorio con riferimenti ai contesti nazionali e internazionali. Leggere ed interpretare gli aspetti della storia locale in relazione alla storia generale. Analizzare e confrontare testi di diverso orientamento storiografico. Utilizzare il lessico delle scienze storico-sociali. Utilizzare ed applicare categorie, metodi e strumenti della ricerca storica in contesti laboratoriali ed operativi. Utilizzare fonti storiche di diversa tipologia (es.: visive, multimediali e siti web dedicati) per produrre ricerche su tematiche storiche.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Contenuti per il III anno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u w:val="single"/>
              </w:rPr>
              <w:t>Letteratur</w:t>
            </w: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a: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Le origini della letteratura, la società e la cultura medievale, la scuola siciliana, la poesia comico realistica, e il dolce stilnovo. I maggiori interpreti della letteratura del trecento: Dante , Petrarca e Boccaccio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Il Rinascimento e i suoi maggiori interpreti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u w:val="single"/>
              </w:rPr>
              <w:t>Storia: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dal feudalesimo alla rivoluzione dell’anno Mille; lotta per le investiture; scontro fra impero e papato; comuni e Repubbliche marinare, la formazione degli Stati regionali e delle Monarchie nazionali. La crisi del trecento; Umanesimo e Rinascimento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Attività o moduli didattici concordati nel CdC a livello interdisciplinare: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</w:rPr>
              <w:t>Conoscenza e rispetto del patrimonio artistico, culturale e ambientale; sostenibilità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49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Tipologie di verifica, elaborati ed esercitazioni 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</w:rPr>
              <w:t>Quelli previsti dal dipartimento e dal PTOF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49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Criteri per le valutazioni 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 A quanto previsto nel Ptof si aggiunge che sarà data particolare valore alla partecipazione alle lezioni con interventi pertinenti. Sarà data importanza anche alla produzione di presentazioni multimediali.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snapToGrid w:val="0"/>
              <w:spacing w:after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Metodi e strategie didattiche 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/>
                <w:sz w:val="20"/>
                <w:szCs w:val="20"/>
              </w:rPr>
              <w:t>(in particolare indicare quelle finalizzate a mantenere l’interesse, a sviluppare la motivazione all’apprendimento, al recupero di conoscenze e abilità, al raggiungimento di obiettivi di competenza)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STRATEGIE METODOLOGICHE COMUNI </w:t>
            </w:r>
          </w:p>
          <w:p>
            <w:pPr>
              <w:pStyle w:val="1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Il Dipartimento concorda le seguenti strategie metodologiche comuni da mettere in atto per il conseguimento delle competenze edegli obiettivi trasversali formulati. </w:t>
            </w:r>
          </w:p>
          <w:p>
            <w:pPr>
              <w:pStyle w:val="1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Per conseguire gli obiettivi prefissati i docenti: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perseguiranno gli obiettivi condivisi nel consiglio di classe;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saranno coerenti nello sviluppo della programmazione in classe con le finalità e gli obiettivi generali del POF e con quelli specifici disciplinari;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costruiranno una verticalità didattica in cui seguire e potenziare il processo formativo degli studenti;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coinvolgeranno nel percorso formativo tutti i soggetti presenti nella scuola e promuoveranno la cultura della collaborazione e della condivisione;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organizzeranno lezioni che utilizzino al meglio la molteplicità dei linguaggi comunicativi;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Laddove si renderà necessario utilizzeranno la classe come risorsa in apprendimenti e attività laboratoriali in piccoli gruppi, attività di coppia, attività di tutoring e aiuto tra pari, attività di cooperative learnig;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Forniranno, all’occorrenza, spiegazioni individualizzate;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Rispetteranno i tempi di assimilazione dei contenuti disciplinari;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it-IT"/>
              </w:rPr>
              <w:t>Proporranno i contenuti disciplinari in modo "problematico", per stimolare l'interesse e la partecipazione attiva dei discenti;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it-IT"/>
              </w:rPr>
              <w:t>Stimoleranno l’interesse degli studenti tramite la discussione ed il confronto;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it-IT"/>
              </w:rPr>
              <w:t>Punteranno, laddove necessario, ad un lavoro interdisciplinare attraverso la collaborazione dei docenti delle singole discipline ed in osservanza a quanto disposto dai progetti approvati dal collegio.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</w:tbl>
    <w:p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Pisa li …20 novembre 202</w:t>
      </w:r>
      <w:r>
        <w:rPr>
          <w:rFonts w:hint="default" w:ascii="Arial" w:hAnsi="Arial" w:cs="Arial"/>
          <w:sz w:val="20"/>
          <w:lang w:val="it-IT"/>
        </w:rPr>
        <w:t>3</w:t>
      </w:r>
      <w:r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Il docente</w:t>
      </w:r>
    </w:p>
    <w:p>
      <w:pPr>
        <w:tabs>
          <w:tab w:val="center" w:pos="7088"/>
        </w:tabs>
        <w:snapToGrid w:val="0"/>
        <w:spacing w:before="100" w:after="10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Tiziana Ghelardini</w:t>
      </w:r>
    </w:p>
    <w:sectPr>
      <w:pgSz w:w="11906" w:h="16838"/>
      <w:pgMar w:top="142" w:right="1134" w:bottom="1134" w:left="1134" w:header="720" w:footer="720" w:gutter="0"/>
      <w:cols w:space="720" w:num="1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iberation Sans Narrow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Free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DejaVu Sans">
    <w:altName w:val="Arial"/>
    <w:panose1 w:val="00000000000000000000"/>
    <w:charset w:val="00"/>
    <w:family w:val="swiss"/>
    <w:pitch w:val="default"/>
    <w:sig w:usb0="00000000" w:usb1="00000000" w:usb2="0A24602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800" w:hanging="1440"/>
      </w:pPr>
    </w:lvl>
  </w:abstractNum>
  <w:abstractNum w:abstractNumId="2">
    <w:nsid w:val="51D94BAC"/>
    <w:multiLevelType w:val="multilevel"/>
    <w:tmpl w:val="51D94BA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nforcement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63"/>
    <w:rsid w:val="000A6402"/>
    <w:rsid w:val="000B105C"/>
    <w:rsid w:val="000C3807"/>
    <w:rsid w:val="001E20F6"/>
    <w:rsid w:val="001E38E8"/>
    <w:rsid w:val="001F3AB2"/>
    <w:rsid w:val="00254285"/>
    <w:rsid w:val="002B39FC"/>
    <w:rsid w:val="002B7DC2"/>
    <w:rsid w:val="002C6ECB"/>
    <w:rsid w:val="002E245E"/>
    <w:rsid w:val="00335E57"/>
    <w:rsid w:val="00370965"/>
    <w:rsid w:val="00392787"/>
    <w:rsid w:val="004B7C09"/>
    <w:rsid w:val="004C29E6"/>
    <w:rsid w:val="00652914"/>
    <w:rsid w:val="00680DB0"/>
    <w:rsid w:val="00706038"/>
    <w:rsid w:val="00725306"/>
    <w:rsid w:val="00745311"/>
    <w:rsid w:val="00750D21"/>
    <w:rsid w:val="008258EE"/>
    <w:rsid w:val="00832987"/>
    <w:rsid w:val="00835645"/>
    <w:rsid w:val="008607A4"/>
    <w:rsid w:val="008B0AE6"/>
    <w:rsid w:val="008B6024"/>
    <w:rsid w:val="009935F6"/>
    <w:rsid w:val="00A0195D"/>
    <w:rsid w:val="00A16DFC"/>
    <w:rsid w:val="00A367A5"/>
    <w:rsid w:val="00B43913"/>
    <w:rsid w:val="00B442C2"/>
    <w:rsid w:val="00BE01C7"/>
    <w:rsid w:val="00BE2263"/>
    <w:rsid w:val="00C42B94"/>
    <w:rsid w:val="00C93D16"/>
    <w:rsid w:val="00CF2111"/>
    <w:rsid w:val="00E24C74"/>
    <w:rsid w:val="00E60E6B"/>
    <w:rsid w:val="00EC3676"/>
    <w:rsid w:val="00EC6CD0"/>
    <w:rsid w:val="00ED16D2"/>
    <w:rsid w:val="00F17125"/>
    <w:rsid w:val="00F96A42"/>
    <w:rsid w:val="20745C13"/>
    <w:rsid w:val="3C1926A8"/>
    <w:rsid w:val="4EA219EF"/>
    <w:rsid w:val="7CFD0D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Calibri"/>
      <w:sz w:val="26"/>
      <w:lang w:val="it-IT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3">
    <w:name w:val="heading 2"/>
    <w:basedOn w:val="1"/>
    <w:next w:val="4"/>
    <w:link w:val="59"/>
    <w:qFormat/>
    <w:uiPriority w:val="0"/>
    <w:pPr>
      <w:keepNext/>
      <w:tabs>
        <w:tab w:val="left" w:pos="576"/>
      </w:tabs>
      <w:spacing w:before="200" w:after="120"/>
      <w:ind w:left="576" w:hanging="576"/>
      <w:outlineLvl w:val="1"/>
    </w:pPr>
    <w:rPr>
      <w:rFonts w:ascii="Liberation Sans" w:hAnsi="Liberation Sans" w:eastAsia="Droid Sans Fallback" w:cs="FreeSans"/>
      <w:b/>
      <w:bCs/>
      <w:kern w:val="1"/>
      <w:sz w:val="32"/>
      <w:szCs w:val="32"/>
      <w:lang w:eastAsia="zh-CN" w:bidi="hi-IN"/>
    </w:rPr>
  </w:style>
  <w:style w:type="paragraph" w:styleId="5">
    <w:name w:val="heading 3"/>
    <w:basedOn w:val="1"/>
    <w:next w:val="4"/>
    <w:link w:val="60"/>
    <w:qFormat/>
    <w:uiPriority w:val="0"/>
    <w:pPr>
      <w:keepNext/>
      <w:tabs>
        <w:tab w:val="left" w:pos="720"/>
      </w:tabs>
      <w:spacing w:before="140" w:after="120"/>
      <w:ind w:left="720" w:hanging="720"/>
      <w:outlineLvl w:val="2"/>
    </w:pPr>
    <w:rPr>
      <w:rFonts w:ascii="Liberation Sans" w:hAnsi="Liberation Sans" w:eastAsia="Droid Sans Fallback" w:cs="FreeSans"/>
      <w:b/>
      <w:bCs/>
      <w:kern w:val="1"/>
      <w:sz w:val="28"/>
      <w:szCs w:val="28"/>
      <w:lang w:eastAsia="zh-CN" w:bidi="hi-IN"/>
    </w:rPr>
  </w:style>
  <w:style w:type="paragraph" w:styleId="6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9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58"/>
    <w:semiHidden/>
    <w:unhideWhenUsed/>
    <w:qFormat/>
    <w:uiPriority w:val="99"/>
    <w:pPr>
      <w:spacing w:after="120" w:line="480" w:lineRule="auto"/>
    </w:pPr>
  </w:style>
  <w:style w:type="paragraph" w:styleId="11">
    <w:name w:val="Body Text Indent"/>
    <w:basedOn w:val="1"/>
    <w:link w:val="57"/>
    <w:semiHidden/>
    <w:unhideWhenUsed/>
    <w:uiPriority w:val="0"/>
    <w:pPr>
      <w:suppressAutoHyphens w:val="0"/>
      <w:spacing w:after="120"/>
      <w:ind w:left="283"/>
    </w:pPr>
    <w:rPr>
      <w:rFonts w:cs="Times New Roman"/>
      <w:sz w:val="24"/>
      <w:szCs w:val="24"/>
      <w:lang w:eastAsia="it-IT"/>
    </w:rPr>
  </w:style>
  <w:style w:type="paragraph" w:styleId="12">
    <w:name w:val="footer"/>
    <w:basedOn w:val="1"/>
    <w:uiPriority w:val="0"/>
    <w:pPr>
      <w:tabs>
        <w:tab w:val="center" w:pos="4819"/>
        <w:tab w:val="right" w:pos="9638"/>
      </w:tabs>
      <w:suppressAutoHyphens w:val="0"/>
    </w:pPr>
    <w:rPr>
      <w:rFonts w:ascii="Cambria" w:hAnsi="Cambria" w:eastAsia="Cambria" w:cs="Cambria"/>
      <w:sz w:val="24"/>
      <w:szCs w:val="24"/>
    </w:rPr>
  </w:style>
  <w:style w:type="paragraph" w:styleId="13">
    <w:name w:val="footnote text"/>
    <w:basedOn w:val="1"/>
    <w:qFormat/>
    <w:uiPriority w:val="0"/>
    <w:rPr>
      <w:sz w:val="20"/>
    </w:rPr>
  </w:style>
  <w:style w:type="character" w:styleId="14">
    <w:name w:val="Hyperlink"/>
    <w:qFormat/>
    <w:uiPriority w:val="0"/>
    <w:rPr>
      <w:color w:val="000080"/>
      <w:u w:val="single"/>
    </w:rPr>
  </w:style>
  <w:style w:type="paragraph" w:styleId="15">
    <w:name w:val="List"/>
    <w:basedOn w:val="4"/>
    <w:qFormat/>
    <w:uiPriority w:val="0"/>
    <w:rPr>
      <w:rFonts w:cs="Mangal"/>
    </w:rPr>
  </w:style>
  <w:style w:type="table" w:styleId="16">
    <w:name w:val="Table Grid"/>
    <w:basedOn w:val="8"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WW8Num1z0"/>
    <w:qFormat/>
    <w:uiPriority w:val="0"/>
  </w:style>
  <w:style w:type="character" w:customStyle="1" w:styleId="18">
    <w:name w:val="WW8Num1z1"/>
    <w:qFormat/>
    <w:uiPriority w:val="0"/>
  </w:style>
  <w:style w:type="character" w:customStyle="1" w:styleId="19">
    <w:name w:val="WW8Num1z2"/>
    <w:qFormat/>
    <w:uiPriority w:val="0"/>
  </w:style>
  <w:style w:type="character" w:customStyle="1" w:styleId="20">
    <w:name w:val="WW8Num1z3"/>
    <w:qFormat/>
    <w:uiPriority w:val="0"/>
  </w:style>
  <w:style w:type="character" w:customStyle="1" w:styleId="21">
    <w:name w:val="WW8Num1z4"/>
    <w:qFormat/>
    <w:uiPriority w:val="0"/>
  </w:style>
  <w:style w:type="character" w:customStyle="1" w:styleId="22">
    <w:name w:val="WW8Num1z5"/>
    <w:qFormat/>
    <w:uiPriority w:val="0"/>
  </w:style>
  <w:style w:type="character" w:customStyle="1" w:styleId="23">
    <w:name w:val="WW8Num1z6"/>
    <w:qFormat/>
    <w:uiPriority w:val="0"/>
  </w:style>
  <w:style w:type="character" w:customStyle="1" w:styleId="24">
    <w:name w:val="WW8Num1z7"/>
    <w:qFormat/>
    <w:uiPriority w:val="0"/>
  </w:style>
  <w:style w:type="character" w:customStyle="1" w:styleId="25">
    <w:name w:val="WW8Num1z8"/>
    <w:qFormat/>
    <w:uiPriority w:val="0"/>
  </w:style>
  <w:style w:type="character" w:customStyle="1" w:styleId="26">
    <w:name w:val="WW8Num2z0"/>
    <w:qFormat/>
    <w:uiPriority w:val="0"/>
    <w:rPr>
      <w:rFonts w:ascii="Times New Roman" w:hAnsi="Times New Roman" w:cs="Times New Roman"/>
      <w:color w:val="000000"/>
      <w:position w:val="0"/>
      <w:sz w:val="22"/>
      <w:u w:val="none"/>
      <w:vertAlign w:val="baseline"/>
    </w:rPr>
  </w:style>
  <w:style w:type="character" w:customStyle="1" w:styleId="27">
    <w:name w:val="WW8Num2z1"/>
    <w:qFormat/>
    <w:uiPriority w:val="0"/>
    <w:rPr>
      <w:rFonts w:ascii="Times New Roman" w:hAnsi="Times New Roman" w:cs="Times New Roman"/>
      <w:sz w:val="22"/>
    </w:rPr>
  </w:style>
  <w:style w:type="character" w:customStyle="1" w:styleId="28">
    <w:name w:val="WW8Num2z2"/>
    <w:qFormat/>
    <w:uiPriority w:val="0"/>
  </w:style>
  <w:style w:type="character" w:customStyle="1" w:styleId="29">
    <w:name w:val="WW8Num2z3"/>
    <w:qFormat/>
    <w:uiPriority w:val="0"/>
  </w:style>
  <w:style w:type="character" w:customStyle="1" w:styleId="30">
    <w:name w:val="WW8Num2z4"/>
    <w:qFormat/>
    <w:uiPriority w:val="0"/>
  </w:style>
  <w:style w:type="character" w:customStyle="1" w:styleId="31">
    <w:name w:val="WW8Num2z5"/>
    <w:qFormat/>
    <w:uiPriority w:val="0"/>
  </w:style>
  <w:style w:type="character" w:customStyle="1" w:styleId="32">
    <w:name w:val="WW8Num2z6"/>
    <w:qFormat/>
    <w:uiPriority w:val="0"/>
  </w:style>
  <w:style w:type="character" w:customStyle="1" w:styleId="33">
    <w:name w:val="WW8Num2z7"/>
    <w:qFormat/>
    <w:uiPriority w:val="0"/>
  </w:style>
  <w:style w:type="character" w:customStyle="1" w:styleId="34">
    <w:name w:val="WW8Num2z8"/>
    <w:qFormat/>
    <w:uiPriority w:val="0"/>
  </w:style>
  <w:style w:type="character" w:customStyle="1" w:styleId="35">
    <w:name w:val="WW8Num3z0"/>
    <w:qFormat/>
    <w:uiPriority w:val="0"/>
    <w:rPr>
      <w:rFonts w:ascii="Calibri" w:hAnsi="Calibri" w:cs="Arial"/>
      <w:b/>
      <w:sz w:val="20"/>
      <w:szCs w:val="18"/>
    </w:rPr>
  </w:style>
  <w:style w:type="character" w:customStyle="1" w:styleId="36">
    <w:name w:val="WW8Num3z1"/>
    <w:qFormat/>
    <w:uiPriority w:val="0"/>
  </w:style>
  <w:style w:type="character" w:customStyle="1" w:styleId="37">
    <w:name w:val="WW8Num4z0"/>
    <w:qFormat/>
    <w:uiPriority w:val="0"/>
    <w:rPr>
      <w:rFonts w:ascii="Calibri" w:hAnsi="Calibri" w:eastAsia="Calibri" w:cs="Times New Roman"/>
      <w:sz w:val="24"/>
    </w:rPr>
  </w:style>
  <w:style w:type="character" w:customStyle="1" w:styleId="38">
    <w:name w:val="WW8Num4z1"/>
    <w:qFormat/>
    <w:uiPriority w:val="0"/>
    <w:rPr>
      <w:rFonts w:ascii="Courier New" w:hAnsi="Courier New" w:cs="Courier New"/>
    </w:rPr>
  </w:style>
  <w:style w:type="character" w:customStyle="1" w:styleId="39">
    <w:name w:val="WW8Num4z2"/>
    <w:qFormat/>
    <w:uiPriority w:val="0"/>
    <w:rPr>
      <w:rFonts w:ascii="Wingdings" w:hAnsi="Wingdings" w:cs="Wingdings"/>
    </w:rPr>
  </w:style>
  <w:style w:type="character" w:customStyle="1" w:styleId="40">
    <w:name w:val="WW8Num4z3"/>
    <w:qFormat/>
    <w:uiPriority w:val="0"/>
    <w:rPr>
      <w:rFonts w:ascii="Symbol" w:hAnsi="Symbol" w:cs="Symbol"/>
    </w:rPr>
  </w:style>
  <w:style w:type="character" w:customStyle="1" w:styleId="41">
    <w:name w:val="Car. predefinito paragrafo1"/>
    <w:qFormat/>
    <w:uiPriority w:val="0"/>
  </w:style>
  <w:style w:type="character" w:customStyle="1" w:styleId="42">
    <w:name w:val="Titolo 1 Carattere"/>
    <w:basedOn w:val="41"/>
    <w:qFormat/>
    <w:uiPriority w:val="0"/>
    <w:rPr>
      <w:rFonts w:ascii="Tahoma" w:hAnsi="Tahoma" w:eastAsia="Times New Roman" w:cs="Tahoma"/>
      <w:b/>
      <w:i/>
      <w:color w:val="000000"/>
    </w:rPr>
  </w:style>
  <w:style w:type="character" w:customStyle="1" w:styleId="43">
    <w:name w:val="Titolo 4 Carattere"/>
    <w:basedOn w:val="41"/>
    <w:qFormat/>
    <w:uiPriority w:val="0"/>
    <w:rPr>
      <w:rFonts w:ascii="Tahoma" w:hAnsi="Tahoma" w:eastAsia="Times New Roman" w:cs="Tahoma"/>
      <w:b/>
      <w:color w:val="000000"/>
      <w:sz w:val="20"/>
    </w:rPr>
  </w:style>
  <w:style w:type="character" w:customStyle="1" w:styleId="44">
    <w:name w:val="Carattere della nota"/>
    <w:basedOn w:val="41"/>
    <w:qFormat/>
    <w:uiPriority w:val="0"/>
    <w:rPr>
      <w:vertAlign w:val="superscript"/>
    </w:rPr>
  </w:style>
  <w:style w:type="character" w:customStyle="1" w:styleId="45">
    <w:name w:val="Rimando nota a piè di pagina1"/>
    <w:qFormat/>
    <w:uiPriority w:val="0"/>
    <w:rPr>
      <w:vertAlign w:val="superscript"/>
    </w:rPr>
  </w:style>
  <w:style w:type="character" w:customStyle="1" w:styleId="46">
    <w:name w:val="Corpo del testo Carattere"/>
    <w:basedOn w:val="41"/>
    <w:qFormat/>
    <w:uiPriority w:val="0"/>
    <w:rPr>
      <w:rFonts w:ascii="Times New Roman" w:hAnsi="Times New Roman" w:eastAsia="Times New Roman" w:cs="Calibri"/>
      <w:color w:val="000000"/>
      <w:sz w:val="26"/>
    </w:rPr>
  </w:style>
  <w:style w:type="character" w:customStyle="1" w:styleId="47">
    <w:name w:val="Testo nota a piè di pagina Carattere"/>
    <w:basedOn w:val="41"/>
    <w:qFormat/>
    <w:uiPriority w:val="0"/>
    <w:rPr>
      <w:rFonts w:ascii="Times New Roman" w:hAnsi="Times New Roman" w:eastAsia="Times New Roman" w:cs="Calibri"/>
      <w:color w:val="000000"/>
      <w:sz w:val="20"/>
    </w:rPr>
  </w:style>
  <w:style w:type="character" w:customStyle="1" w:styleId="48">
    <w:name w:val="Piè di pagina Carattere"/>
    <w:basedOn w:val="41"/>
    <w:qFormat/>
    <w:uiPriority w:val="0"/>
    <w:rPr>
      <w:rFonts w:ascii="Cambria" w:hAnsi="Cambria" w:eastAsia="Cambria" w:cs="Cambria"/>
      <w:color w:val="000000"/>
      <w:szCs w:val="24"/>
    </w:rPr>
  </w:style>
  <w:style w:type="character" w:customStyle="1" w:styleId="49">
    <w:name w:val="Testo fumetto Carattere"/>
    <w:basedOn w:val="41"/>
    <w:uiPriority w:val="0"/>
    <w:rPr>
      <w:rFonts w:ascii="Tahoma" w:hAnsi="Tahoma" w:eastAsia="Times New Roman" w:cs="Tahoma"/>
      <w:color w:val="000000"/>
      <w:sz w:val="16"/>
      <w:szCs w:val="16"/>
    </w:rPr>
  </w:style>
  <w:style w:type="paragraph" w:customStyle="1" w:styleId="50">
    <w:name w:val="Intestazione2"/>
    <w:basedOn w:val="1"/>
    <w:next w:val="4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51">
    <w:name w:val="Didascalia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Indice"/>
    <w:basedOn w:val="1"/>
    <w:qFormat/>
    <w:uiPriority w:val="0"/>
    <w:pPr>
      <w:suppressLineNumbers/>
    </w:pPr>
    <w:rPr>
      <w:rFonts w:cs="Mangal"/>
    </w:rPr>
  </w:style>
  <w:style w:type="paragraph" w:customStyle="1" w:styleId="53">
    <w:name w:val="Intestazione1"/>
    <w:basedOn w:val="1"/>
    <w:next w:val="4"/>
    <w:qFormat/>
    <w:uiPriority w:val="0"/>
    <w:pPr>
      <w:tabs>
        <w:tab w:val="center" w:pos="4819"/>
        <w:tab w:val="right" w:pos="9638"/>
      </w:tabs>
    </w:pPr>
  </w:style>
  <w:style w:type="paragraph" w:styleId="54">
    <w:name w:val="List Paragraph"/>
    <w:basedOn w:val="1"/>
    <w:qFormat/>
    <w:uiPriority w:val="0"/>
    <w:pPr>
      <w:suppressAutoHyphens w:val="0"/>
      <w:spacing w:after="200" w:line="276" w:lineRule="auto"/>
      <w:ind w:left="720"/>
    </w:pPr>
    <w:rPr>
      <w:rFonts w:ascii="Calibri" w:hAnsi="Calibri" w:eastAsia="Calibri" w:cs="Times New Roman"/>
      <w:sz w:val="22"/>
      <w:szCs w:val="22"/>
    </w:rPr>
  </w:style>
  <w:style w:type="paragraph" w:customStyle="1" w:styleId="55">
    <w:name w:val="Contenuto tabella"/>
    <w:basedOn w:val="1"/>
    <w:qFormat/>
    <w:uiPriority w:val="0"/>
    <w:pPr>
      <w:suppressLineNumbers/>
    </w:pPr>
  </w:style>
  <w:style w:type="paragraph" w:customStyle="1" w:styleId="56">
    <w:name w:val="Intestazione tabella"/>
    <w:basedOn w:val="55"/>
    <w:qFormat/>
    <w:uiPriority w:val="0"/>
    <w:pPr>
      <w:jc w:val="center"/>
    </w:pPr>
    <w:rPr>
      <w:b/>
      <w:bCs/>
    </w:rPr>
  </w:style>
  <w:style w:type="character" w:customStyle="1" w:styleId="57">
    <w:name w:val="Rientro corpo del testo Carattere"/>
    <w:basedOn w:val="7"/>
    <w:link w:val="11"/>
    <w:semiHidden/>
    <w:qFormat/>
    <w:uiPriority w:val="0"/>
    <w:rPr>
      <w:sz w:val="24"/>
      <w:szCs w:val="24"/>
    </w:rPr>
  </w:style>
  <w:style w:type="character" w:customStyle="1" w:styleId="58">
    <w:name w:val="Corpo del testo 2 Carattere"/>
    <w:basedOn w:val="7"/>
    <w:link w:val="10"/>
    <w:semiHidden/>
    <w:qFormat/>
    <w:uiPriority w:val="99"/>
    <w:rPr>
      <w:rFonts w:cs="Calibri"/>
      <w:sz w:val="26"/>
      <w:lang w:eastAsia="ar-SA"/>
    </w:rPr>
  </w:style>
  <w:style w:type="character" w:customStyle="1" w:styleId="59">
    <w:name w:val="Titolo 2 Carattere"/>
    <w:basedOn w:val="7"/>
    <w:link w:val="3"/>
    <w:qFormat/>
    <w:uiPriority w:val="0"/>
    <w:rPr>
      <w:rFonts w:ascii="Liberation Sans" w:hAnsi="Liberation Sans" w:eastAsia="Droid Sans Fallback" w:cs="FreeSans"/>
      <w:b/>
      <w:bCs/>
      <w:kern w:val="1"/>
      <w:sz w:val="32"/>
      <w:szCs w:val="32"/>
      <w:lang w:eastAsia="zh-CN" w:bidi="hi-IN"/>
    </w:rPr>
  </w:style>
  <w:style w:type="character" w:customStyle="1" w:styleId="60">
    <w:name w:val="Titolo 3 Carattere"/>
    <w:basedOn w:val="7"/>
    <w:link w:val="5"/>
    <w:qFormat/>
    <w:uiPriority w:val="0"/>
    <w:rPr>
      <w:rFonts w:ascii="Liberation Sans" w:hAnsi="Liberation Sans" w:eastAsia="Droid Sans Fallback" w:cs="FreeSans"/>
      <w:b/>
      <w:bCs/>
      <w:kern w:val="1"/>
      <w:sz w:val="28"/>
      <w:szCs w:val="28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2420</Words>
  <Characters>13800</Characters>
  <Lines>115</Lines>
  <Paragraphs>32</Paragraphs>
  <TotalTime>3</TotalTime>
  <ScaleCrop>false</ScaleCrop>
  <LinksUpToDate>false</LinksUpToDate>
  <CharactersWithSpaces>16188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2022-12-04T17:34:00Z</dcterms:created>
  <dc:creator>fiber</dc:creator>
  <cp:lastModifiedBy>Tiziana Ghelardini</cp:lastModifiedBy>
  <cp:lastPrinted>2411-12-31T23:00:00Z</cp:lastPrinted>
  <dcterms:modified xsi:type="dcterms:W3CDTF">2023-11-28T20:26:03Z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F46458BB3F504AB4B730A1B250060977_13</vt:lpwstr>
  </property>
</Properties>
</file>